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>ENQUIRY NO: CeNS/2017-18/</w:t>
      </w:r>
      <w:r w:rsidR="00B65FF9">
        <w:rPr>
          <w:rFonts w:ascii="Times New Roman" w:eastAsia="Times New Roman" w:hAnsi="Times New Roman" w:cs="Times New Roman"/>
          <w:bCs/>
          <w:sz w:val="24"/>
          <w:szCs w:val="24"/>
        </w:rPr>
        <w:t>Admin</w:t>
      </w: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 xml:space="preserve">/LP </w:t>
      </w:r>
      <w:r w:rsidR="00B65FF9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</w:p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</w:t>
      </w: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40F6">
        <w:rPr>
          <w:rFonts w:ascii="Times New Roman" w:eastAsia="Times New Roman" w:hAnsi="Times New Roman" w:cs="Times New Roman"/>
          <w:bCs/>
          <w:sz w:val="24"/>
          <w:szCs w:val="24"/>
        </w:rPr>
        <w:t>Date: 25.04.2017</w:t>
      </w:r>
      <w:r w:rsidR="00015A11" w:rsidRPr="00015A11">
        <w:rPr>
          <w:rFonts w:ascii="Times New Roman" w:eastAsiaTheme="minorHAnsi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25pt;margin-top:.5pt;width:180pt;height:42.1pt;z-index:251660288;mso-position-horizontal-relative:text;mso-position-vertical-relative:text">
            <v:textbox style="mso-next-textbox:#_x0000_s1028">
              <w:txbxContent>
                <w:p w:rsidR="002B1150" w:rsidRPr="005F5791" w:rsidRDefault="002B1150" w:rsidP="002B1150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F5791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REQUEST FOR QUOTATION</w:t>
                  </w:r>
                </w:p>
                <w:p w:rsidR="002B1150" w:rsidRDefault="002B1150" w:rsidP="002B1150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5291" w:rsidRPr="00FC40F6" w:rsidRDefault="00325291" w:rsidP="003252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40F6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325291" w:rsidRPr="00FC40F6" w:rsidRDefault="00325291" w:rsidP="00325291">
      <w:pPr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</w:p>
    <w:p w:rsidR="00325291" w:rsidRPr="00FC40F6" w:rsidRDefault="00325291" w:rsidP="003252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C40F6">
        <w:rPr>
          <w:rFonts w:ascii="Times New Roman" w:hAnsi="Times New Roman" w:cs="Times New Roman"/>
          <w:sz w:val="24"/>
          <w:szCs w:val="24"/>
        </w:rPr>
        <w:t>Dear Sirs,</w:t>
      </w:r>
    </w:p>
    <w:p w:rsidR="002B1150" w:rsidRPr="00FC40F6" w:rsidRDefault="00325291" w:rsidP="00FC40F6">
      <w:p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40F6">
        <w:rPr>
          <w:rFonts w:ascii="Times New Roman" w:hAnsi="Times New Roman" w:cs="Times New Roman"/>
          <w:sz w:val="24"/>
          <w:szCs w:val="24"/>
        </w:rPr>
        <w:t xml:space="preserve">The Centre proposes to procure the following </w:t>
      </w:r>
      <w:r w:rsidRPr="00FC40F6">
        <w:rPr>
          <w:rFonts w:ascii="Times New Roman" w:hAnsi="Times New Roman" w:cs="Times New Roman"/>
          <w:b/>
          <w:bCs/>
          <w:sz w:val="24"/>
          <w:szCs w:val="24"/>
        </w:rPr>
        <w:t>On-line Uninterrupted Power Supply Systems with SMF</w:t>
      </w:r>
      <w:r w:rsidRPr="00FC40F6">
        <w:rPr>
          <w:rFonts w:ascii="Times New Roman" w:hAnsi="Times New Roman" w:cs="Times New Roman"/>
          <w:sz w:val="24"/>
          <w:szCs w:val="24"/>
        </w:rPr>
        <w:t xml:space="preserve"> batteries for 30 min backup time , against a buy-back arrangement of old UPS systems</w:t>
      </w:r>
      <w:r w:rsidR="00FC40F6" w:rsidRPr="00FC40F6">
        <w:rPr>
          <w:rFonts w:ascii="Times New Roman" w:hAnsi="Times New Roman" w:cs="Times New Roman"/>
          <w:sz w:val="24"/>
          <w:szCs w:val="24"/>
        </w:rPr>
        <w:t xml:space="preserve"> and batteries</w:t>
      </w:r>
      <w:r w:rsidRPr="00FC40F6">
        <w:rPr>
          <w:rFonts w:ascii="Times New Roman" w:hAnsi="Times New Roman" w:cs="Times New Roman"/>
          <w:sz w:val="24"/>
          <w:szCs w:val="24"/>
        </w:rPr>
        <w:t xml:space="preserve">.  The Centre accordingly invites quotation from your firm for supply and installation of the new UPS systems, along with an offer for buy-back of the old system.  </w:t>
      </w:r>
    </w:p>
    <w:p w:rsidR="002B1150" w:rsidRPr="00FC40F6" w:rsidRDefault="002B1150" w:rsidP="002B1150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5130"/>
        <w:gridCol w:w="810"/>
        <w:gridCol w:w="1260"/>
        <w:gridCol w:w="1080"/>
      </w:tblGrid>
      <w:tr w:rsidR="00FC40F6" w:rsidRPr="00FC40F6" w:rsidTr="00FC40F6">
        <w:trPr>
          <w:trHeight w:val="4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6" w:rsidRPr="00FC40F6" w:rsidRDefault="00FC40F6" w:rsidP="00226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C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SL. No.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6" w:rsidRPr="00FC40F6" w:rsidRDefault="00FC40F6" w:rsidP="00226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C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6" w:rsidRPr="00FC40F6" w:rsidRDefault="00FC40F6" w:rsidP="00226E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6"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F6" w:rsidRPr="00FC40F6" w:rsidRDefault="00FC40F6" w:rsidP="00226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C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Rate</w:t>
            </w:r>
          </w:p>
          <w:p w:rsidR="00FC40F6" w:rsidRPr="00FC40F6" w:rsidRDefault="00FC40F6" w:rsidP="00226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C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Rs.  Ps.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0F6" w:rsidRPr="00FC40F6" w:rsidRDefault="00FC40F6" w:rsidP="00226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C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Cost</w:t>
            </w:r>
          </w:p>
          <w:p w:rsidR="00FC40F6" w:rsidRPr="00FC40F6" w:rsidRDefault="00FC40F6" w:rsidP="00226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C40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Rs.  Ps</w:t>
            </w:r>
          </w:p>
        </w:tc>
      </w:tr>
      <w:tr w:rsidR="00FC40F6" w:rsidRPr="00FC40F6" w:rsidTr="00FC40F6">
        <w:trPr>
          <w:trHeight w:val="27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FC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0F6" w:rsidRPr="00FC40F6" w:rsidRDefault="00FC40F6" w:rsidP="00FC40F6">
            <w:pPr>
              <w:pStyle w:val="BodyTextIndent3"/>
              <w:tabs>
                <w:tab w:val="left" w:pos="-98"/>
                <w:tab w:val="left" w:pos="-8"/>
              </w:tabs>
              <w:spacing w:after="0"/>
              <w:ind w:left="-98"/>
              <w:jc w:val="both"/>
              <w:rPr>
                <w:bCs/>
                <w:iCs/>
                <w:sz w:val="24"/>
                <w:szCs w:val="24"/>
              </w:rPr>
            </w:pPr>
            <w:r w:rsidRPr="00FC40F6">
              <w:rPr>
                <w:bCs/>
                <w:iCs/>
                <w:sz w:val="24"/>
                <w:szCs w:val="24"/>
              </w:rPr>
              <w:t xml:space="preserve">10 KVA  Online UPS System. </w:t>
            </w:r>
          </w:p>
          <w:p w:rsidR="00FC40F6" w:rsidRPr="00FC40F6" w:rsidRDefault="00FC40F6" w:rsidP="00FC40F6">
            <w:pPr>
              <w:pStyle w:val="BodyTextIndent3"/>
              <w:tabs>
                <w:tab w:val="left" w:pos="-98"/>
                <w:tab w:val="left" w:pos="-8"/>
              </w:tabs>
              <w:spacing w:after="0"/>
              <w:ind w:left="-98"/>
              <w:jc w:val="both"/>
              <w:rPr>
                <w:sz w:val="24"/>
                <w:szCs w:val="24"/>
              </w:rPr>
            </w:pPr>
            <w:r w:rsidRPr="00FC40F6">
              <w:rPr>
                <w:bCs/>
                <w:iCs/>
                <w:sz w:val="24"/>
                <w:szCs w:val="24"/>
              </w:rPr>
              <w:t>Three Ph Input , Single  Ph Output  with Amarom Quanta SMF Batteries for 30 Min backup (12V-42AH  x  20 nos.) and  battery stand.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6">
              <w:rPr>
                <w:rFonts w:ascii="Times New Roman" w:hAnsi="Times New Roman" w:cs="Times New Roman"/>
                <w:sz w:val="24"/>
                <w:szCs w:val="24"/>
              </w:rPr>
              <w:t>1 No.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F6" w:rsidRPr="00FC40F6" w:rsidTr="00FC40F6">
        <w:trPr>
          <w:trHeight w:val="49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0F6" w:rsidRPr="00FC40F6" w:rsidRDefault="00FC40F6" w:rsidP="00FC40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F6" w:rsidRPr="00FC40F6" w:rsidRDefault="00FC40F6" w:rsidP="00FC40F6">
            <w:pPr>
              <w:pStyle w:val="BodyTextIndent3"/>
              <w:tabs>
                <w:tab w:val="left" w:pos="-98"/>
                <w:tab w:val="left" w:pos="-8"/>
              </w:tabs>
              <w:spacing w:after="0"/>
              <w:ind w:left="-98"/>
              <w:rPr>
                <w:bCs/>
                <w:iCs/>
                <w:sz w:val="24"/>
                <w:szCs w:val="24"/>
              </w:rPr>
            </w:pPr>
            <w:r w:rsidRPr="00FC40F6">
              <w:rPr>
                <w:bCs/>
                <w:iCs/>
                <w:sz w:val="24"/>
                <w:szCs w:val="24"/>
              </w:rPr>
              <w:t xml:space="preserve">Buyback of  2KVA Power One UPS system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6">
              <w:rPr>
                <w:rFonts w:ascii="Times New Roman" w:hAnsi="Times New Roman" w:cs="Times New Roman"/>
                <w:sz w:val="24"/>
                <w:szCs w:val="24"/>
              </w:rPr>
              <w:t>1 No.</w:t>
            </w:r>
          </w:p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F6" w:rsidRPr="00FC40F6" w:rsidTr="00FC40F6">
        <w:trPr>
          <w:trHeight w:val="48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FC40F6">
            <w:pPr>
              <w:pStyle w:val="BodyTextIndent3"/>
              <w:tabs>
                <w:tab w:val="left" w:pos="-98"/>
                <w:tab w:val="left" w:pos="-8"/>
              </w:tabs>
              <w:spacing w:after="0"/>
              <w:ind w:left="0"/>
              <w:rPr>
                <w:bCs/>
                <w:iCs/>
                <w:sz w:val="24"/>
                <w:szCs w:val="24"/>
              </w:rPr>
            </w:pPr>
            <w:r w:rsidRPr="00FC40F6">
              <w:rPr>
                <w:bCs/>
                <w:iCs/>
                <w:sz w:val="24"/>
                <w:szCs w:val="24"/>
              </w:rPr>
              <w:t>Buyback  of  60 AH, 12 V Tubular batteries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nos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0F6" w:rsidRPr="00FC40F6" w:rsidRDefault="00FC40F6" w:rsidP="00226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150" w:rsidRPr="00FC40F6" w:rsidRDefault="002B1150" w:rsidP="002B1150">
      <w:pPr>
        <w:tabs>
          <w:tab w:val="left" w:pos="540"/>
        </w:tabs>
        <w:spacing w:after="0"/>
        <w:ind w:left="63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i-IN"/>
        </w:rPr>
      </w:pPr>
    </w:p>
    <w:p w:rsidR="002B1150" w:rsidRPr="00FC40F6" w:rsidRDefault="002B1150" w:rsidP="00BA0454">
      <w:pPr>
        <w:tabs>
          <w:tab w:val="left" w:pos="540"/>
        </w:tabs>
        <w:spacing w:after="0"/>
        <w:ind w:left="63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i-IN"/>
        </w:rPr>
      </w:pPr>
      <w:r w:rsidRPr="00FC4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i-IN"/>
        </w:rPr>
        <w:t>NOTE:</w:t>
      </w:r>
    </w:p>
    <w:p w:rsidR="002B1150" w:rsidRPr="00FC40F6" w:rsidRDefault="002B1150" w:rsidP="003845B8">
      <w:pPr>
        <w:numPr>
          <w:ilvl w:val="0"/>
          <w:numId w:val="1"/>
        </w:numPr>
        <w:tabs>
          <w:tab w:val="left" w:pos="540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hi-IN"/>
        </w:rPr>
        <w:t xml:space="preserve">The quotations should be sent on or before </w:t>
      </w:r>
      <w:r w:rsidR="00325291" w:rsidRPr="00FC40F6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 xml:space="preserve"> 1 May 2017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3990"/>
        </w:tabs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>The quotation may be addressed to the Administrative Officer, Centre for Nano and Soft Matter Sciences, PB No: 1329, Prof. U.R Rao Road, Jalahalli, Bengaluru-560013.  Discount if any should be clearly mentioned.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3990"/>
        </w:tabs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>Delivery schedule, warranty details if any must be clearly indicated.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3990"/>
        </w:tabs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>Taxes &amp; duties should be separately shown.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3990"/>
        </w:tabs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>Quotation should be valid for a minimum period of 1 month from the date of issue.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 xml:space="preserve">  Payment will be through NEFT. No advance payments shall be admissible.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540"/>
          <w:tab w:val="left" w:pos="3990"/>
        </w:tabs>
        <w:spacing w:line="360" w:lineRule="auto"/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 xml:space="preserve">  The Centre reserves the right to accept or reject any quotation or part thereof without assigning any reasons.</w:t>
      </w:r>
    </w:p>
    <w:p w:rsidR="002B1150" w:rsidRPr="00FC40F6" w:rsidRDefault="002B1150" w:rsidP="003845B8">
      <w:pPr>
        <w:pStyle w:val="ListParagraph"/>
        <w:numPr>
          <w:ilvl w:val="0"/>
          <w:numId w:val="1"/>
        </w:numPr>
        <w:tabs>
          <w:tab w:val="left" w:pos="540"/>
          <w:tab w:val="left" w:pos="3990"/>
        </w:tabs>
        <w:spacing w:line="360" w:lineRule="auto"/>
        <w:rPr>
          <w:bCs/>
          <w:color w:val="000000"/>
          <w:lang w:bidi="hi-IN"/>
        </w:rPr>
      </w:pPr>
      <w:r w:rsidRPr="00FC40F6">
        <w:rPr>
          <w:bCs/>
          <w:color w:val="000000"/>
          <w:lang w:bidi="hi-IN"/>
        </w:rPr>
        <w:t xml:space="preserve">The Centre is exempt from paying </w:t>
      </w:r>
      <w:r w:rsidRPr="00FC40F6">
        <w:rPr>
          <w:color w:val="000000"/>
          <w:lang w:bidi="hi-IN"/>
        </w:rPr>
        <w:t>Central Excise of Customs duty on purchase.</w:t>
      </w:r>
    </w:p>
    <w:p w:rsidR="006E0257" w:rsidRDefault="002B1150" w:rsidP="003845B8">
      <w:pPr>
        <w:tabs>
          <w:tab w:val="left" w:pos="540"/>
          <w:tab w:val="left" w:pos="3990"/>
        </w:tabs>
        <w:spacing w:after="0" w:line="360" w:lineRule="auto"/>
        <w:ind w:left="399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</w:t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</w:t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Yours sincerely,</w:t>
      </w:r>
    </w:p>
    <w:p w:rsidR="002B1150" w:rsidRPr="00FC40F6" w:rsidRDefault="002B1150" w:rsidP="003845B8">
      <w:pPr>
        <w:tabs>
          <w:tab w:val="left" w:pos="540"/>
          <w:tab w:val="left" w:pos="3990"/>
        </w:tabs>
        <w:spacing w:after="0" w:line="360" w:lineRule="auto"/>
        <w:ind w:left="3990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</w:t>
      </w:r>
      <w:r w:rsidR="003845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FC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Administrative Officer</w:t>
      </w:r>
    </w:p>
    <w:sectPr w:rsidR="002B1150" w:rsidRPr="00FC40F6" w:rsidSect="00810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FE" w:rsidRDefault="00A45BFE" w:rsidP="005F5791">
      <w:pPr>
        <w:spacing w:after="0" w:line="240" w:lineRule="auto"/>
      </w:pPr>
      <w:r>
        <w:separator/>
      </w:r>
    </w:p>
  </w:endnote>
  <w:endnote w:type="continuationSeparator" w:id="1">
    <w:p w:rsidR="00A45BFE" w:rsidRDefault="00A45BFE" w:rsidP="005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FE" w:rsidRDefault="00A45BFE" w:rsidP="005F5791">
      <w:pPr>
        <w:spacing w:after="0" w:line="240" w:lineRule="auto"/>
      </w:pPr>
      <w:r>
        <w:separator/>
      </w:r>
    </w:p>
  </w:footnote>
  <w:footnote w:type="continuationSeparator" w:id="1">
    <w:p w:rsidR="00A45BFE" w:rsidRDefault="00A45BFE" w:rsidP="005F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6C0C"/>
    <w:multiLevelType w:val="hybridMultilevel"/>
    <w:tmpl w:val="6EDC6BE4"/>
    <w:lvl w:ilvl="0" w:tplc="4372C6CE">
      <w:start w:val="1"/>
      <w:numFmt w:val="lowerRoman"/>
      <w:lvlText w:val="%1."/>
      <w:lvlJc w:val="left"/>
      <w:pPr>
        <w:ind w:left="6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3BA72B0A"/>
    <w:multiLevelType w:val="hybridMultilevel"/>
    <w:tmpl w:val="BC26B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401487"/>
    <w:multiLevelType w:val="hybridMultilevel"/>
    <w:tmpl w:val="3E6AE3A8"/>
    <w:lvl w:ilvl="0" w:tplc="E7F6611C">
      <w:start w:val="1"/>
      <w:numFmt w:val="lowerLetter"/>
      <w:lvlText w:val="(%1)"/>
      <w:lvlJc w:val="left"/>
      <w:pPr>
        <w:ind w:left="6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je1NDK2tLAwNTYzMjBQ0lEKTi0uzszPAykwrAUA1kZeKCwAAAA="/>
  </w:docVars>
  <w:rsids>
    <w:rsidRoot w:val="005F5791"/>
    <w:rsid w:val="00015A11"/>
    <w:rsid w:val="00060980"/>
    <w:rsid w:val="00066075"/>
    <w:rsid w:val="002B1150"/>
    <w:rsid w:val="00325291"/>
    <w:rsid w:val="003845B8"/>
    <w:rsid w:val="005F5791"/>
    <w:rsid w:val="00627D28"/>
    <w:rsid w:val="006E0257"/>
    <w:rsid w:val="00810FE7"/>
    <w:rsid w:val="00856304"/>
    <w:rsid w:val="00A45BFE"/>
    <w:rsid w:val="00AF0C57"/>
    <w:rsid w:val="00B65FF9"/>
    <w:rsid w:val="00BA0454"/>
    <w:rsid w:val="00C26FF4"/>
    <w:rsid w:val="00E27255"/>
    <w:rsid w:val="00F72B59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E7"/>
  </w:style>
  <w:style w:type="paragraph" w:styleId="Heading1">
    <w:name w:val="heading 1"/>
    <w:basedOn w:val="Normal"/>
    <w:next w:val="Normal"/>
    <w:link w:val="Heading1Char"/>
    <w:uiPriority w:val="9"/>
    <w:qFormat/>
    <w:rsid w:val="00AF0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5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5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F5791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F57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C40F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40F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Reetu</dc:creator>
  <cp:lastModifiedBy>LIBRARY</cp:lastModifiedBy>
  <cp:revision>7</cp:revision>
  <dcterms:created xsi:type="dcterms:W3CDTF">2017-04-25T11:38:00Z</dcterms:created>
  <dcterms:modified xsi:type="dcterms:W3CDTF">2017-04-25T12:00:00Z</dcterms:modified>
</cp:coreProperties>
</file>